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法人、非法人组织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证件号码：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1.理赔款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支付理赔款        元（人民币，下同；如外币需特别注明）；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2.保险费、违约金等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日止，欠保险费、违约金等共计       元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日之后的保险费、违约金等各项费用按照保证保险合同约定计算至实际清偿之日止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eastAsia="宋体"/>
                <w:szCs w:val="22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2.保证保险合同的主要约定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保证保险金额：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保费金额：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保险期间：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保险费缴纳方式：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理赔条件：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理赔款项和未付保费的追索：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违约事由及违约责任：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特别约定：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提示说明的具体方式以及时间地点：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4.被告借款合同的主要约定（借款金额、期限、用途、利息标准、还款方式、担保、违约责任、解除条件、管辖约定）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日至    年  月  日，被告按约定还款，已还款     元，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逾期但已还款     元，共归还本金     元，利息     元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   年  月  日起，开始逾期不还，截至    年  月  日，被告   欠付借款本金   元 、利息   元 、罚息    元、复利    元、滞纳金    元、违约金    元、手续费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6.保证保险合同的履行情况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原告于   年  月  日进行了理赔，代被告清偿债务，共赔款      元，于   年  月  日取得权益转让确认书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7.追索情况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原告于   年  月  日通知被告并向其追索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被告已支付保费    元，归还借款     元；尚欠保费     元，欠付借款本金   元 、利息   元 、罚息    元、复利    元、滞纳金    元、违约金    元、手续费   元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/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日期：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DEA"/>
    <w:rsid w:val="7C2453C4"/>
    <w:rsid w:val="EDBA21B3"/>
    <w:rsid w:val="FDFF9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1873</Words>
  <Characters>1893</Characters>
  <Lines>0</Lines>
  <Paragraphs>0</Paragraphs>
  <TotalTime>0</TotalTime>
  <ScaleCrop>false</ScaleCrop>
  <LinksUpToDate>false</LinksUpToDate>
  <CharactersWithSpaces>2446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2024-06-26T19:19:00Z</dcterms:created>
  <dc:creator>tongyingchao</dc:creator>
  <cp:lastModifiedBy>zhongxiaobing</cp:lastModifiedBy>
  <dcterms:modified xsi:type="dcterms:W3CDTF">2025-01-16T14:16:58Z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F319C3782F3D42938EDD556E6E7FDB39_13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